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E80B4A" w:rsidRPr="00A50F0F" w:rsidTr="00E80B4A">
        <w:tc>
          <w:tcPr>
            <w:tcW w:w="3596" w:type="dxa"/>
          </w:tcPr>
          <w:p w:rsidR="00E80B4A" w:rsidRPr="00A50F0F" w:rsidRDefault="00E80B4A" w:rsidP="00E80B4A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bookmarkStart w:id="0" w:name="_GoBack" w:colFirst="0" w:colLast="0"/>
            <w:r w:rsidRPr="00A50F0F">
              <w:rPr>
                <w:rFonts w:ascii="Verdana" w:hAnsi="Verdana"/>
                <w:b/>
                <w:sz w:val="20"/>
                <w:szCs w:val="20"/>
                <w:lang w:val="bg-BG"/>
              </w:rPr>
              <w:t>Основание</w:t>
            </w:r>
          </w:p>
        </w:tc>
        <w:tc>
          <w:tcPr>
            <w:tcW w:w="3597" w:type="dxa"/>
          </w:tcPr>
          <w:p w:rsidR="00E80B4A" w:rsidRPr="00A50F0F" w:rsidRDefault="00E80B4A" w:rsidP="00E80B4A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/>
                <w:b/>
                <w:sz w:val="20"/>
                <w:szCs w:val="20"/>
                <w:lang w:val="bg-BG"/>
              </w:rPr>
              <w:t>Документ</w:t>
            </w:r>
          </w:p>
        </w:tc>
        <w:tc>
          <w:tcPr>
            <w:tcW w:w="3597" w:type="dxa"/>
          </w:tcPr>
          <w:p w:rsidR="00E80B4A" w:rsidRPr="00A50F0F" w:rsidRDefault="00E80B4A" w:rsidP="00E80B4A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/>
                <w:b/>
                <w:sz w:val="20"/>
                <w:szCs w:val="20"/>
                <w:lang w:val="bg-BG"/>
              </w:rPr>
              <w:t>Изисквания</w:t>
            </w:r>
          </w:p>
        </w:tc>
      </w:tr>
      <w:tr w:rsidR="00E80B4A" w:rsidRPr="00A50F0F" w:rsidTr="00E80B4A">
        <w:tc>
          <w:tcPr>
            <w:tcW w:w="3596" w:type="dxa"/>
            <w:vMerge w:val="restart"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Чл. 56а, ал. 1, ал. 2, т. 2 и ал. 3 от ППЗСПЗЗ</w:t>
            </w:r>
          </w:p>
        </w:tc>
        <w:tc>
          <w:tcPr>
            <w:tcW w:w="3597" w:type="dxa"/>
            <w:vMerge w:val="restart"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Заявление до министъра на земеделието и храните чрез директора на Областна дирекция "Земеделие"  </w:t>
            </w: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Посочва се исканият за закупуване имот и предпочитаният начин на заплащане на стойността му - лева или ПКБ.</w:t>
            </w:r>
          </w:p>
        </w:tc>
      </w:tr>
      <w:tr w:rsidR="00E80B4A" w:rsidRPr="00A50F0F" w:rsidTr="00E80B4A">
        <w:tc>
          <w:tcPr>
            <w:tcW w:w="3596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Прилага се нотариално заверено пълномощно, когато документите се подават от упълномощено лице.</w:t>
            </w:r>
          </w:p>
        </w:tc>
      </w:tr>
      <w:tr w:rsidR="00E80B4A" w:rsidRPr="00A50F0F" w:rsidTr="00E80B4A">
        <w:tc>
          <w:tcPr>
            <w:tcW w:w="3596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Когато заявлението е подадено от юридическо лице се посочва ЕИК съгласно Закона за търговския регистър.</w:t>
            </w:r>
          </w:p>
        </w:tc>
      </w:tr>
      <w:tr w:rsidR="00E80B4A" w:rsidRPr="00A50F0F" w:rsidTr="00E80B4A">
        <w:tc>
          <w:tcPr>
            <w:tcW w:w="3596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Когато заявлението е подадено от юридическо лице се прилага протокол от заседание на съответния оправомощен орган на юридическото лице, съдържащ решение за закупуване на държавните имоти - предмет на продажбата.</w:t>
            </w:r>
          </w:p>
        </w:tc>
      </w:tr>
      <w:tr w:rsidR="00E80B4A" w:rsidRPr="00A50F0F" w:rsidTr="00E80B4A">
        <w:tc>
          <w:tcPr>
            <w:tcW w:w="3596" w:type="dxa"/>
            <w:vMerge w:val="restart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Чл. 56а, ал. 2, т. 1 от ППЗСПЗЗ</w:t>
            </w:r>
          </w:p>
        </w:tc>
        <w:tc>
          <w:tcPr>
            <w:tcW w:w="3597" w:type="dxa"/>
            <w:vMerge w:val="restart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Копие на документ за собственост върху сградите и/или съоръженията, собственост на заявителя.</w:t>
            </w: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Нотариален акт, удостоверяващ правото на собственост върху сградата и/или съоръжението. Когато е представен констативен нотариален акт или нотариален акт за придобиване право на собственост по давност се прилагат и документи, послужили за съставянето на акта.</w:t>
            </w:r>
          </w:p>
        </w:tc>
      </w:tr>
      <w:tr w:rsidR="00E80B4A" w:rsidRPr="00A50F0F" w:rsidTr="00E80B4A">
        <w:tc>
          <w:tcPr>
            <w:tcW w:w="3596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Постановление за възлагане на недвижим имот, вписано в Службата по вписвания. </w:t>
            </w:r>
          </w:p>
        </w:tc>
      </w:tr>
      <w:tr w:rsidR="00E80B4A" w:rsidRPr="00A50F0F" w:rsidTr="00E80B4A">
        <w:tc>
          <w:tcPr>
            <w:tcW w:w="3596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Акт за общинска собственост, когато заявлението е подадено от кмет на община.</w:t>
            </w:r>
          </w:p>
        </w:tc>
      </w:tr>
      <w:tr w:rsidR="00E80B4A" w:rsidRPr="00A50F0F" w:rsidTr="00E80B4A">
        <w:tc>
          <w:tcPr>
            <w:tcW w:w="3596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2C350D" w:rsidRPr="00A768D9" w:rsidRDefault="002C350D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sz w:val="20"/>
                <w:szCs w:val="20"/>
                <w:lang w:val="bg-BG"/>
              </w:rPr>
            </w:pPr>
            <w:r w:rsidRPr="00A768D9">
              <w:rPr>
                <w:rFonts w:ascii="Verdana" w:hAnsi="Verdana" w:cs="Arial"/>
                <w:sz w:val="20"/>
                <w:szCs w:val="20"/>
                <w:lang w:val="bg-BG"/>
              </w:rPr>
              <w:t xml:space="preserve">При подаване на заявление за закупуване на имот, заявителят трябва да приложи документи за собственост за всички сгради и/или съоръжения, за които имота е отреден като застроена, нормативно определена и прилежаща площ. В случаите, в които имотът е определен с </w:t>
            </w:r>
            <w:r w:rsidR="00D935D6" w:rsidRPr="00A768D9">
              <w:rPr>
                <w:rFonts w:ascii="Verdana" w:hAnsi="Verdana" w:cs="Arial"/>
                <w:sz w:val="20"/>
                <w:szCs w:val="20"/>
                <w:lang w:val="bg-BG"/>
              </w:rPr>
              <w:t>влязъл в сила</w:t>
            </w:r>
            <w:r w:rsidRPr="00A768D9">
              <w:rPr>
                <w:rFonts w:ascii="Verdana" w:hAnsi="Verdana" w:cs="Arial"/>
                <w:sz w:val="20"/>
                <w:szCs w:val="20"/>
                <w:lang w:val="bg-BG"/>
              </w:rPr>
              <w:t xml:space="preserve"> парцеларен план</w:t>
            </w:r>
            <w:r w:rsidR="008861F3" w:rsidRPr="00A768D9">
              <w:rPr>
                <w:rFonts w:ascii="Verdana" w:hAnsi="Verdana" w:cs="Arial"/>
                <w:sz w:val="20"/>
                <w:szCs w:val="20"/>
                <w:lang w:val="bg-BG"/>
              </w:rPr>
              <w:t xml:space="preserve">, </w:t>
            </w:r>
            <w:r w:rsidR="00D935D6" w:rsidRPr="00A768D9">
              <w:rPr>
                <w:rFonts w:ascii="Verdana" w:hAnsi="Verdana" w:cs="Arial"/>
                <w:sz w:val="20"/>
                <w:szCs w:val="20"/>
                <w:lang w:val="bg-BG"/>
              </w:rPr>
              <w:t>пл</w:t>
            </w:r>
            <w:r w:rsidRPr="00A768D9">
              <w:rPr>
                <w:rFonts w:ascii="Verdana" w:hAnsi="Verdana" w:cs="Arial"/>
                <w:sz w:val="20"/>
                <w:szCs w:val="20"/>
                <w:lang w:val="bg-BG"/>
              </w:rPr>
              <w:t>ан на новообразуваните имоти</w:t>
            </w:r>
            <w:r w:rsidR="008861F3" w:rsidRPr="00A768D9">
              <w:rPr>
                <w:rFonts w:ascii="Verdana" w:hAnsi="Verdana" w:cs="Arial"/>
                <w:sz w:val="20"/>
                <w:szCs w:val="20"/>
                <w:lang w:val="bg-BG"/>
              </w:rPr>
              <w:t xml:space="preserve"> или регулационен план</w:t>
            </w:r>
            <w:r w:rsidRPr="00A768D9">
              <w:rPr>
                <w:rFonts w:ascii="Verdana" w:hAnsi="Verdana" w:cs="Arial"/>
                <w:sz w:val="20"/>
                <w:szCs w:val="20"/>
                <w:lang w:val="bg-BG"/>
              </w:rPr>
              <w:t xml:space="preserve"> като застроена и нормативно определена прилежаща площ към два или повече обекта, а заявителят е придобил право на собственост само върху един от </w:t>
            </w:r>
            <w:r w:rsidR="008861F3" w:rsidRPr="00A768D9">
              <w:rPr>
                <w:rFonts w:ascii="Verdana" w:hAnsi="Verdana" w:cs="Arial"/>
                <w:sz w:val="20"/>
                <w:szCs w:val="20"/>
                <w:lang w:val="bg-BG"/>
              </w:rPr>
              <w:t>тях</w:t>
            </w:r>
            <w:r w:rsidRPr="00A768D9">
              <w:rPr>
                <w:rFonts w:ascii="Verdana" w:hAnsi="Verdana" w:cs="Arial"/>
                <w:sz w:val="20"/>
                <w:szCs w:val="20"/>
                <w:lang w:val="bg-BG"/>
              </w:rPr>
              <w:t xml:space="preserve"> </w:t>
            </w:r>
            <w:r w:rsidR="008861F3" w:rsidRPr="00A768D9">
              <w:rPr>
                <w:rFonts w:ascii="Verdana" w:hAnsi="Verdana" w:cs="Arial"/>
                <w:sz w:val="20"/>
                <w:szCs w:val="20"/>
                <w:lang w:val="bg-BG"/>
              </w:rPr>
              <w:t xml:space="preserve">не </w:t>
            </w:r>
            <w:r w:rsidRPr="00A768D9">
              <w:rPr>
                <w:rFonts w:ascii="Verdana" w:hAnsi="Verdana" w:cs="Arial"/>
                <w:sz w:val="20"/>
                <w:szCs w:val="20"/>
                <w:lang w:val="bg-BG"/>
              </w:rPr>
              <w:t xml:space="preserve">може да придобие </w:t>
            </w:r>
            <w:r w:rsidR="008861F3" w:rsidRPr="00A768D9">
              <w:rPr>
                <w:rFonts w:ascii="Verdana" w:hAnsi="Verdana" w:cs="Arial"/>
                <w:sz w:val="20"/>
                <w:szCs w:val="20"/>
                <w:lang w:val="bg-BG"/>
              </w:rPr>
              <w:t>в собственост цялата площ на имота</w:t>
            </w:r>
            <w:r w:rsidR="00D935D6" w:rsidRPr="00A768D9">
              <w:rPr>
                <w:rFonts w:ascii="Verdana" w:hAnsi="Verdana" w:cs="Arial"/>
                <w:sz w:val="20"/>
                <w:szCs w:val="20"/>
                <w:lang w:val="bg-BG"/>
              </w:rPr>
              <w:t>.</w:t>
            </w:r>
            <w:r w:rsidRPr="00A768D9">
              <w:rPr>
                <w:rFonts w:ascii="Verdana" w:hAnsi="Verdana" w:cs="Arial"/>
                <w:sz w:val="20"/>
                <w:szCs w:val="20"/>
                <w:lang w:val="bg-BG"/>
              </w:rPr>
              <w:t xml:space="preserve"> </w:t>
            </w:r>
          </w:p>
        </w:tc>
      </w:tr>
      <w:tr w:rsidR="00034947" w:rsidRPr="00A50F0F" w:rsidTr="00E80B4A">
        <w:tc>
          <w:tcPr>
            <w:tcW w:w="3596" w:type="dxa"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Чл. 56а, ал. 2, т. 3 от ППЗСПЗЗ</w:t>
            </w:r>
          </w:p>
        </w:tc>
        <w:tc>
          <w:tcPr>
            <w:tcW w:w="3597" w:type="dxa"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Други документи в изпълнение на специалните изисквания на закона</w:t>
            </w:r>
          </w:p>
        </w:tc>
        <w:tc>
          <w:tcPr>
            <w:tcW w:w="3597" w:type="dxa"/>
          </w:tcPr>
          <w:p w:rsidR="00034947" w:rsidRPr="00A50F0F" w:rsidRDefault="00034947" w:rsidP="00CB13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Документи, удостоверяващи принадлежността на сградата/</w:t>
            </w:r>
            <w:r w:rsidR="00CB130B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съоръжението към имущество на организация по § 12 от ПЗР на ЗСПЗЗ. Протоколи за разпределение на дълготрайни 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lastRenderedPageBreak/>
              <w:t>материални активи на Ликвидационния съвет; Договори за поку</w:t>
            </w:r>
            <w:r w:rsidR="00CB130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п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ко-продажба на сгради/</w:t>
            </w:r>
            <w:r w:rsidR="00CB130B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съоръжения с Ликвидационния съвет. Протоколи за разделяне на държавното и кооперативно имущество. Документи от Държавен архив, фактури и други документи.</w:t>
            </w:r>
          </w:p>
        </w:tc>
      </w:tr>
      <w:tr w:rsidR="00034947" w:rsidRPr="00A50F0F" w:rsidTr="00E80B4A">
        <w:tc>
          <w:tcPr>
            <w:tcW w:w="3596" w:type="dxa"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lastRenderedPageBreak/>
              <w:t>Чл. 56а, ал. 4, т. 1 от ППЗСПЗЗ</w:t>
            </w:r>
          </w:p>
        </w:tc>
        <w:tc>
          <w:tcPr>
            <w:tcW w:w="3597" w:type="dxa"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Акт за частна държавна собственост на имота</w:t>
            </w:r>
          </w:p>
        </w:tc>
        <w:tc>
          <w:tcPr>
            <w:tcW w:w="3597" w:type="dxa"/>
          </w:tcPr>
          <w:p w:rsidR="00034947" w:rsidRPr="00A50F0F" w:rsidRDefault="00034947" w:rsidP="00CB13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В акта трябва да е посочено вярното основание за съставянето му - чл. 45, ал. 10 от ППЗСПЗЗ, а в случаите на преиздадени АДС на основание  чл. 71, ал. 1 от ЗДС  във връзка с влязла в сила кадастрална карта за землището, следва да се представи и предходно съставения акт. Площта на имота да съответства на тази по скицата. Трябва да е отразено, че имотът е с предоставени права на управление на министъра на земеделието и храните.</w:t>
            </w:r>
          </w:p>
        </w:tc>
      </w:tr>
      <w:tr w:rsidR="00034947" w:rsidRPr="00A50F0F" w:rsidTr="00E80B4A">
        <w:tc>
          <w:tcPr>
            <w:tcW w:w="3596" w:type="dxa"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Чл. 56а, ал. 4, т. 1 от ППЗСПЗЗ</w:t>
            </w:r>
          </w:p>
        </w:tc>
        <w:tc>
          <w:tcPr>
            <w:tcW w:w="3597" w:type="dxa"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Скица на имота</w:t>
            </w:r>
          </w:p>
        </w:tc>
        <w:tc>
          <w:tcPr>
            <w:tcW w:w="3597" w:type="dxa"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Прилага се: скица, издадена от СГКК, за землища с влязла в сила КККР; скица, издадена от ОСЗ за землища, които са на КВС; скица, издадена от техническа служба на общината 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lastRenderedPageBreak/>
              <w:t xml:space="preserve">за имоти, които са в регулация и за тази територия няма влязла в сила кадастрална карта. </w:t>
            </w:r>
          </w:p>
        </w:tc>
      </w:tr>
      <w:tr w:rsidR="00034947" w:rsidRPr="00A50F0F" w:rsidTr="00E80B4A">
        <w:tc>
          <w:tcPr>
            <w:tcW w:w="3596" w:type="dxa"/>
            <w:vMerge w:val="restart"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lastRenderedPageBreak/>
              <w:t>Чл. 56а, ал. 4, т. 3 от ППЗСПЗЗ</w:t>
            </w:r>
          </w:p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  <w:vMerge w:val="restart"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Актуална данъчна оценка по чл. 56в от ППЗСПЗЗ</w:t>
            </w:r>
          </w:p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Данъчната оценка трябва да е за имота, обект на преписката за продажба и площта му да съответства на площта, отразена в  скицата и АДС.</w:t>
            </w:r>
          </w:p>
        </w:tc>
      </w:tr>
      <w:tr w:rsidR="00034947" w:rsidRPr="00A50F0F" w:rsidTr="00E80B4A">
        <w:tc>
          <w:tcPr>
            <w:tcW w:w="3596" w:type="dxa"/>
            <w:vMerge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  <w:vMerge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В удостоверението за данъчната оценка изрично трябва да е записано, че е изготвена като за земи в строителни граници.</w:t>
            </w:r>
          </w:p>
        </w:tc>
      </w:tr>
      <w:tr w:rsidR="00034947" w:rsidRPr="00A50F0F" w:rsidTr="00E80B4A">
        <w:tc>
          <w:tcPr>
            <w:tcW w:w="3596" w:type="dxa"/>
            <w:vMerge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  <w:vMerge/>
          </w:tcPr>
          <w:p w:rsidR="00034947" w:rsidRPr="00A50F0F" w:rsidRDefault="00034947" w:rsidP="00034947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034947" w:rsidRPr="00A50F0F" w:rsidRDefault="00034947" w:rsidP="00CB13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Прилага се актуална данъчна оценка, която е валидна към датата на постъпване на преписката в министерството. Следва да се има предвид, че съгласно ЗМДТ данъчна оценка, издадена до 30.06 на текущата година е валидна до тази дата. Единствено,</w:t>
            </w:r>
            <w:r w:rsidR="00CB130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когато задълженията са платени и това изрично е записано в данъчната оценка, тя е валидна до края на календарната година. Данъчна оценка, издадена след 30.06 е валидна до края на календарната година.</w:t>
            </w:r>
          </w:p>
        </w:tc>
      </w:tr>
      <w:tr w:rsidR="00E80B4A" w:rsidRPr="00A50F0F" w:rsidTr="00E80B4A">
        <w:tc>
          <w:tcPr>
            <w:tcW w:w="3596" w:type="dxa"/>
            <w:vMerge w:val="restart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Чл. 56а, ал. 4, т. 2 от ППЗСПЗЗ</w:t>
            </w:r>
          </w:p>
        </w:tc>
        <w:tc>
          <w:tcPr>
            <w:tcW w:w="3597" w:type="dxa"/>
            <w:vMerge w:val="restart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Пазарна оценка на имота, възложена от директора на областната дирекция 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lastRenderedPageBreak/>
              <w:t>"Земеделие" и изготвена от независим оценител на недвижими имоти</w:t>
            </w: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lastRenderedPageBreak/>
              <w:t xml:space="preserve">Приема се, че пазарната оценка е със срок на валидност 6 месеца, освен ако независимият 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lastRenderedPageBreak/>
              <w:t>оценител не е посочил по-кратък срок на валидност.</w:t>
            </w:r>
          </w:p>
        </w:tc>
      </w:tr>
      <w:tr w:rsidR="00E80B4A" w:rsidRPr="00A50F0F" w:rsidTr="00E80B4A">
        <w:tc>
          <w:tcPr>
            <w:tcW w:w="3596" w:type="dxa"/>
            <w:vMerge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  <w:vMerge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При приемане на пазарната оценката, трябва да се извърши проверка в общодостъпни източници за коректността на използваните от оценителя пазарни аналози, както и за допуснати технически и изчислителни грешки в оценката.</w:t>
            </w:r>
          </w:p>
        </w:tc>
      </w:tr>
      <w:tr w:rsidR="00E80B4A" w:rsidRPr="00A50F0F" w:rsidTr="00E80B4A">
        <w:tc>
          <w:tcPr>
            <w:tcW w:w="3596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Чл. 56а, ал. 4, т. 4 от ППЗСПЗЗ</w:t>
            </w: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Уведомително писмо до заявителя за определената пазарна цена на имота.</w:t>
            </w: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Документ, удостоверяващ, че писмото е получено или </w:t>
            </w:r>
            <w:r w:rsidR="004C2139"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д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екларация, че заявителя е съгласен с определената цена.</w:t>
            </w:r>
          </w:p>
        </w:tc>
      </w:tr>
      <w:tr w:rsidR="00E80B4A" w:rsidRPr="00A50F0F" w:rsidTr="00E80B4A">
        <w:tc>
          <w:tcPr>
            <w:tcW w:w="3596" w:type="dxa"/>
            <w:vMerge w:val="restart"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Чл. 56а, ал. 4, т. 5 от ППЗСПЗЗ</w:t>
            </w:r>
          </w:p>
        </w:tc>
        <w:tc>
          <w:tcPr>
            <w:tcW w:w="3597" w:type="dxa"/>
          </w:tcPr>
          <w:p w:rsidR="00E80B4A" w:rsidRPr="00A50F0F" w:rsidRDefault="00E80B4A" w:rsidP="00992E2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Протокол за определяне на прилежащите площи към сградите и/или съоръженията, изготвен в изпълнение на чл. 45, ал. </w:t>
            </w:r>
            <w:r w:rsidR="00992E28" w:rsidRPr="009549C4">
              <w:rPr>
                <w:rFonts w:ascii="Verdana" w:hAnsi="Verdana" w:cs="Arial"/>
                <w:sz w:val="20"/>
                <w:szCs w:val="20"/>
                <w:lang w:val="bg-BG"/>
              </w:rPr>
              <w:t>5</w:t>
            </w:r>
            <w:r w:rsidRPr="009549C4">
              <w:rPr>
                <w:rFonts w:ascii="Verdana" w:hAnsi="Verdana" w:cs="Arial"/>
                <w:sz w:val="20"/>
                <w:szCs w:val="20"/>
                <w:lang w:val="bg-BG"/>
              </w:rPr>
              <w:t xml:space="preserve"> 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от ППЗСПЗЗ.</w:t>
            </w: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Към копието на протокола се прилага скица от парцеларния план или копие на графичната част на парцеларния план. Прилага се удостоверение за идентичност между парцела по парцеларен план и искания за покупка имот.</w:t>
            </w:r>
          </w:p>
        </w:tc>
      </w:tr>
      <w:tr w:rsidR="00E80B4A" w:rsidRPr="00A50F0F" w:rsidTr="00E80B4A">
        <w:tc>
          <w:tcPr>
            <w:tcW w:w="3596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За териториите, за които има изготвен план на новообразуваните имоти /ПНИ/</w:t>
            </w: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Прилага се протокола за приемане на ПНИ, заповедта за одобряването му и извадка от картния материал.</w:t>
            </w:r>
          </w:p>
        </w:tc>
      </w:tr>
      <w:tr w:rsidR="00E80B4A" w:rsidRPr="00A50F0F" w:rsidTr="00E80B4A">
        <w:tc>
          <w:tcPr>
            <w:tcW w:w="3596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За имоти, които попадат в регулацията на населеното място.</w:t>
            </w: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Извадка от регулационния план, в обхват на искания за покупка имот и влязла в сила заповед за одобряване на плана за регулация.</w:t>
            </w:r>
          </w:p>
        </w:tc>
      </w:tr>
      <w:tr w:rsidR="00E80B4A" w:rsidRPr="00A50F0F" w:rsidTr="00E80B4A">
        <w:tc>
          <w:tcPr>
            <w:tcW w:w="3596" w:type="dxa"/>
            <w:vMerge w:val="restart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lastRenderedPageBreak/>
              <w:t>Чл. 56а, ал. 4, т. 6 от ППЗСПЗЗ</w:t>
            </w:r>
          </w:p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Други документи в изпълнение на специалните изисквания на закона</w:t>
            </w: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Документи, свързани с конкретната преписка, като съдебно решение или приемо-предавателен протокол по чл. 30, ал. 1 от ЗСПЗЗ</w:t>
            </w:r>
            <w:r w:rsidR="00992E28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,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когато сградата/съоръжението е закупено от общината и други. </w:t>
            </w:r>
          </w:p>
        </w:tc>
      </w:tr>
      <w:tr w:rsidR="00E80B4A" w:rsidRPr="00A50F0F" w:rsidTr="00E80B4A">
        <w:tc>
          <w:tcPr>
            <w:tcW w:w="3596" w:type="dxa"/>
            <w:vMerge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</w:p>
        </w:tc>
        <w:tc>
          <w:tcPr>
            <w:tcW w:w="3597" w:type="dxa"/>
          </w:tcPr>
          <w:p w:rsidR="00E80B4A" w:rsidRPr="00A50F0F" w:rsidRDefault="00E80B4A" w:rsidP="004C213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Дължими суми по чл. 27а, ал. 4 от ЗСПЗЗ в съответствие с разпоредбата на § 16 от ПЗР към ЗИД на ЗСПЗЗ за сгради и съоръжения придобити след 15.08.2015 г.</w:t>
            </w: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Прилага се платежно нареждане или друг документ за заплащане на сумите.</w:t>
            </w:r>
          </w:p>
        </w:tc>
      </w:tr>
      <w:tr w:rsidR="00E80B4A" w:rsidRPr="00E80B4A" w:rsidTr="00E80B4A">
        <w:tc>
          <w:tcPr>
            <w:tcW w:w="3596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Чл. 56а, ал. </w:t>
            </w:r>
            <w:r w:rsidR="004C2139"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5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от ППЗСПЗЗ</w:t>
            </w:r>
          </w:p>
        </w:tc>
        <w:tc>
          <w:tcPr>
            <w:tcW w:w="3597" w:type="dxa"/>
          </w:tcPr>
          <w:p w:rsidR="00E80B4A" w:rsidRPr="00A50F0F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С мотивирано становище от директора на областна дирекция "Земеделие", с изразено съгласие за извършване на продажбата, преписката се изпраща в Министерство на земеделието и храните</w:t>
            </w:r>
            <w:r w:rsidR="00992E28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,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за разглеждане.</w:t>
            </w:r>
          </w:p>
        </w:tc>
        <w:tc>
          <w:tcPr>
            <w:tcW w:w="3597" w:type="dxa"/>
          </w:tcPr>
          <w:p w:rsidR="00E80B4A" w:rsidRPr="00E80B4A" w:rsidRDefault="00E80B4A" w:rsidP="004C213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При констатирани </w:t>
            </w:r>
            <w:proofErr w:type="spellStart"/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нередовности</w:t>
            </w:r>
            <w:proofErr w:type="spellEnd"/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, в изпълнение на разпоредбата на чл. 56а, ал. 6 от ППЗСПЗЗ, областната дирекция връща преписката на заявителя с указания за отстраняването им.</w:t>
            </w:r>
          </w:p>
        </w:tc>
      </w:tr>
      <w:bookmarkEnd w:id="0"/>
    </w:tbl>
    <w:p w:rsidR="00E80B4A" w:rsidRPr="00E80B4A" w:rsidRDefault="00E80B4A" w:rsidP="00E80B4A">
      <w:pPr>
        <w:spacing w:line="360" w:lineRule="auto"/>
        <w:rPr>
          <w:rFonts w:ascii="Verdana" w:hAnsi="Verdana"/>
          <w:sz w:val="20"/>
          <w:szCs w:val="20"/>
          <w:lang w:val="bg-BG"/>
        </w:rPr>
      </w:pPr>
    </w:p>
    <w:sectPr w:rsidR="00E80B4A" w:rsidRPr="00E80B4A" w:rsidSect="00D7519A">
      <w:headerReference w:type="default" r:id="rId7"/>
      <w:footerReference w:type="even" r:id="rId8"/>
      <w:footerReference w:type="default" r:id="rId9"/>
      <w:footerReference w:type="first" r:id="rId10"/>
      <w:pgSz w:w="12240" w:h="15840" w:code="1"/>
      <w:pgMar w:top="1134" w:right="720" w:bottom="851" w:left="720" w:header="576" w:footer="57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870" w:rsidRDefault="00AF6870" w:rsidP="00582382">
      <w:r>
        <w:separator/>
      </w:r>
    </w:p>
  </w:endnote>
  <w:endnote w:type="continuationSeparator" w:id="0">
    <w:p w:rsidR="00AF6870" w:rsidRDefault="00AF6870" w:rsidP="0058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BE8" w:rsidRDefault="005A1BE8" w:rsidP="00C506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A1BE8" w:rsidRDefault="005A1BE8" w:rsidP="00C506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BE8" w:rsidRPr="00725516" w:rsidRDefault="005A1BE8" w:rsidP="00C5060B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10"/>
      <w:gridCol w:w="2310"/>
      <w:gridCol w:w="2310"/>
      <w:gridCol w:w="2250"/>
    </w:tblGrid>
    <w:tr w:rsidR="005A1BE8" w:rsidRPr="0091612D">
      <w:trPr>
        <w:cantSplit/>
        <w:trHeight w:val="630"/>
      </w:trPr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250" w:type="dxa"/>
        </w:tcPr>
        <w:p w:rsidR="005A1BE8" w:rsidRPr="0091612D" w:rsidRDefault="005A1BE8" w:rsidP="00C5060B">
          <w:pPr>
            <w:pStyle w:val="Footer"/>
            <w:jc w:val="center"/>
            <w:rPr>
              <w:rFonts w:ascii="Arial" w:hAnsi="Arial"/>
              <w:color w:val="FF0000"/>
              <w:sz w:val="18"/>
              <w:szCs w:val="18"/>
              <w:lang w:val="bg-BG"/>
            </w:rPr>
          </w:pPr>
        </w:p>
      </w:tc>
    </w:tr>
    <w:tr w:rsidR="005A1BE8" w:rsidRPr="005B2435">
      <w:trPr>
        <w:cantSplit/>
        <w:trHeight w:val="330"/>
      </w:trPr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250" w:type="dxa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</w:tr>
  </w:tbl>
  <w:p w:rsidR="005A1BE8" w:rsidRPr="005B2435" w:rsidRDefault="005A1BE8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870" w:rsidRDefault="00AF6870" w:rsidP="00582382">
      <w:r>
        <w:separator/>
      </w:r>
    </w:p>
  </w:footnote>
  <w:footnote w:type="continuationSeparator" w:id="0">
    <w:p w:rsidR="00AF6870" w:rsidRDefault="00AF6870" w:rsidP="00582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40"/>
      <w:gridCol w:w="6107"/>
      <w:gridCol w:w="2018"/>
    </w:tblGrid>
    <w:tr w:rsidR="005A1BE8" w:rsidRPr="00DC6334" w:rsidTr="00E80B4A">
      <w:trPr>
        <w:cantSplit/>
        <w:trHeight w:val="1405"/>
        <w:jc w:val="center"/>
      </w:trPr>
      <w:tc>
        <w:tcPr>
          <w:tcW w:w="2340" w:type="dxa"/>
          <w:vMerge w:val="restart"/>
        </w:tcPr>
        <w:p w:rsidR="005A1BE8" w:rsidRPr="0039667D" w:rsidRDefault="005A1BE8" w:rsidP="00C5060B">
          <w:pPr>
            <w:pStyle w:val="Heading4"/>
            <w:spacing w:line="360" w:lineRule="auto"/>
            <w:rPr>
              <w:rFonts w:ascii="Verdana" w:hAnsi="Verdana"/>
              <w:i/>
              <w:color w:val="auto"/>
              <w:sz w:val="16"/>
              <w:szCs w:val="16"/>
              <w:lang w:val="en-US"/>
            </w:rPr>
          </w:pPr>
        </w:p>
        <w:p w:rsidR="005A1BE8" w:rsidRPr="0039667D" w:rsidRDefault="005A1BE8" w:rsidP="00C5060B">
          <w:pPr>
            <w:spacing w:line="360" w:lineRule="auto"/>
            <w:rPr>
              <w:rFonts w:ascii="Verdana" w:hAnsi="Verdana"/>
              <w:sz w:val="16"/>
              <w:szCs w:val="16"/>
              <w:lang w:val="en-US"/>
            </w:rPr>
          </w:pPr>
          <w:r w:rsidRPr="0039667D">
            <w:rPr>
              <w:rFonts w:ascii="Verdana" w:hAnsi="Verdana"/>
              <w:b/>
              <w:noProof/>
              <w:sz w:val="16"/>
              <w:szCs w:val="16"/>
              <w:lang w:val="bg-BG" w:eastAsia="bg-BG"/>
            </w:rPr>
            <w:drawing>
              <wp:inline distT="0" distB="0" distL="0" distR="0" wp14:anchorId="14DBB8C1" wp14:editId="4C4B933D">
                <wp:extent cx="1257300" cy="695325"/>
                <wp:effectExtent l="0" t="0" r="0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A1BE8" w:rsidRPr="00BE7759" w:rsidRDefault="005A1BE8" w:rsidP="00BE7759">
          <w:pPr>
            <w:pStyle w:val="Heading1"/>
            <w:tabs>
              <w:tab w:val="left" w:pos="1276"/>
            </w:tabs>
            <w:spacing w:line="360" w:lineRule="auto"/>
            <w:jc w:val="center"/>
            <w:rPr>
              <w:rFonts w:ascii="Verdana" w:hAnsi="Verdana"/>
              <w:sz w:val="16"/>
              <w:szCs w:val="16"/>
            </w:rPr>
          </w:pPr>
          <w:r w:rsidRPr="00BE7759">
            <w:rPr>
              <w:rFonts w:ascii="Verdana" w:hAnsi="Verdana"/>
              <w:b/>
              <w:sz w:val="16"/>
              <w:szCs w:val="16"/>
            </w:rPr>
            <w:t>Министерство на земеделието</w:t>
          </w:r>
          <w:r w:rsidR="00EB01BC">
            <w:rPr>
              <w:rFonts w:ascii="Verdana" w:hAnsi="Verdana"/>
              <w:b/>
              <w:sz w:val="16"/>
              <w:szCs w:val="16"/>
            </w:rPr>
            <w:t xml:space="preserve"> и храните</w:t>
          </w:r>
        </w:p>
      </w:tc>
      <w:tc>
        <w:tcPr>
          <w:tcW w:w="6107" w:type="dxa"/>
          <w:vAlign w:val="center"/>
        </w:tcPr>
        <w:p w:rsidR="005A1BE8" w:rsidRPr="00AB0336" w:rsidRDefault="00E80B4A" w:rsidP="00E80B4A">
          <w:pPr>
            <w:jc w:val="both"/>
            <w:rPr>
              <w:rFonts w:ascii="Verdana" w:hAnsi="Verdana"/>
              <w:b/>
              <w:sz w:val="16"/>
              <w:szCs w:val="16"/>
              <w:lang w:val="bg-BG"/>
            </w:rPr>
          </w:pP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Указания за комплектуване на преписки по реда на чл. 27, ал. 6 от ЗСПЗЗ, в съответствие с разпоредбите на Глава четвърта „а“, Раздел </w:t>
          </w:r>
          <w:r w:rsidRPr="00E80B4A">
            <w:rPr>
              <w:rFonts w:ascii="Verdana" w:eastAsia="Times New Roman" w:hAnsi="Verdana"/>
              <w:b/>
              <w:sz w:val="20"/>
              <w:szCs w:val="20"/>
            </w:rPr>
            <w:t>I</w:t>
          </w: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 „Разпореждане със земи по реда на чл. 27, ал. 6 от ЗСПЗЗ“ от ППЗСПЗЗ</w:t>
          </w:r>
        </w:p>
      </w:tc>
      <w:tc>
        <w:tcPr>
          <w:tcW w:w="2018" w:type="dxa"/>
          <w:vMerge w:val="restart"/>
        </w:tcPr>
        <w:p w:rsidR="005A1BE8" w:rsidRPr="0039667D" w:rsidRDefault="005A1BE8" w:rsidP="00C5060B">
          <w:pPr>
            <w:pStyle w:val="Header"/>
            <w:spacing w:line="360" w:lineRule="auto"/>
            <w:rPr>
              <w:rFonts w:ascii="Verdana" w:hAnsi="Verdana"/>
              <w:sz w:val="16"/>
              <w:szCs w:val="16"/>
              <w:lang w:val="bg-BG"/>
            </w:rPr>
          </w:pPr>
        </w:p>
        <w:p w:rsidR="005A1BE8" w:rsidRPr="001F2699" w:rsidRDefault="005A1BE8" w:rsidP="00C5060B">
          <w:pPr>
            <w:pStyle w:val="Header"/>
            <w:spacing w:line="360" w:lineRule="auto"/>
            <w:jc w:val="both"/>
            <w:rPr>
              <w:rStyle w:val="PageNumber"/>
              <w:rFonts w:ascii="Verdana" w:hAnsi="Verdana"/>
              <w:sz w:val="16"/>
              <w:szCs w:val="16"/>
              <w:lang w:val="en-US"/>
            </w:rPr>
          </w:pPr>
          <w:r w:rsidRPr="0039667D">
            <w:rPr>
              <w:rFonts w:ascii="Verdana" w:hAnsi="Verdana"/>
              <w:sz w:val="16"/>
              <w:szCs w:val="16"/>
              <w:lang w:val="bg-BG"/>
            </w:rPr>
            <w:t xml:space="preserve">Страница: </w: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begin"/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ru-RU"/>
            </w:rPr>
            <w:instrText xml:space="preserve"> </w:instrTex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instrText>PAGE</w:instrText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ru-RU"/>
            </w:rPr>
            <w:instrText xml:space="preserve"> </w:instrTex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separate"/>
          </w:r>
          <w:r w:rsidR="00F12F6C">
            <w:rPr>
              <w:rStyle w:val="PageNumber"/>
              <w:rFonts w:ascii="Verdana" w:hAnsi="Verdana"/>
              <w:noProof/>
              <w:sz w:val="16"/>
              <w:szCs w:val="16"/>
            </w:rPr>
            <w:t>6</w: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end"/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bg-BG"/>
            </w:rPr>
            <w:t xml:space="preserve"> от </w:t>
          </w:r>
          <w:r w:rsidR="001F2699">
            <w:rPr>
              <w:rStyle w:val="PageNumber"/>
              <w:rFonts w:ascii="Verdana" w:hAnsi="Verdana"/>
              <w:sz w:val="16"/>
              <w:szCs w:val="16"/>
              <w:lang w:val="en-US"/>
            </w:rPr>
            <w:t>6</w:t>
          </w:r>
        </w:p>
        <w:p w:rsidR="005A1BE8" w:rsidRPr="009758CC" w:rsidRDefault="005A1BE8" w:rsidP="00C5060B">
          <w:pPr>
            <w:pStyle w:val="Header"/>
            <w:spacing w:line="360" w:lineRule="auto"/>
            <w:jc w:val="both"/>
            <w:rPr>
              <w:rStyle w:val="PageNumber"/>
              <w:rFonts w:ascii="Verdana" w:hAnsi="Verdana"/>
              <w:sz w:val="16"/>
              <w:szCs w:val="16"/>
              <w:lang w:val="bg-BG"/>
            </w:rPr>
          </w:pPr>
        </w:p>
        <w:p w:rsidR="005A1BE8" w:rsidRPr="0039667D" w:rsidRDefault="005A1BE8" w:rsidP="00C5060B">
          <w:pPr>
            <w:pStyle w:val="Header"/>
            <w:spacing w:line="360" w:lineRule="auto"/>
            <w:jc w:val="both"/>
            <w:rPr>
              <w:rFonts w:ascii="Verdana" w:hAnsi="Verdana"/>
              <w:sz w:val="16"/>
              <w:szCs w:val="16"/>
              <w:lang w:val="bg-BG"/>
            </w:rPr>
          </w:pPr>
        </w:p>
      </w:tc>
    </w:tr>
    <w:tr w:rsidR="005A1BE8" w:rsidRPr="009344A2" w:rsidTr="00C5060B">
      <w:trPr>
        <w:cantSplit/>
        <w:trHeight w:val="634"/>
        <w:jc w:val="center"/>
      </w:trPr>
      <w:tc>
        <w:tcPr>
          <w:tcW w:w="2340" w:type="dxa"/>
          <w:vMerge/>
        </w:tcPr>
        <w:p w:rsidR="005A1BE8" w:rsidRPr="00DC6334" w:rsidRDefault="005A1BE8" w:rsidP="00C5060B">
          <w:pPr>
            <w:pStyle w:val="Heading4"/>
            <w:rPr>
              <w:i/>
              <w:color w:val="auto"/>
              <w:lang w:val="en-US"/>
            </w:rPr>
          </w:pPr>
        </w:p>
      </w:tc>
      <w:tc>
        <w:tcPr>
          <w:tcW w:w="6107" w:type="dxa"/>
          <w:vAlign w:val="center"/>
        </w:tcPr>
        <w:p w:rsidR="005A1BE8" w:rsidRPr="00A801C6" w:rsidRDefault="00F12F6C" w:rsidP="00E80B4A">
          <w:pPr>
            <w:jc w:val="center"/>
            <w:rPr>
              <w:b/>
              <w:snapToGrid w:val="0"/>
              <w:lang w:val="bg-BG"/>
            </w:rPr>
          </w:pPr>
          <w:r>
            <w:rPr>
              <w:rFonts w:ascii="Verdana" w:hAnsi="Verdana"/>
              <w:b/>
              <w:bCs/>
              <w:sz w:val="16"/>
              <w:szCs w:val="16"/>
              <w:lang w:val="bg-BG"/>
            </w:rPr>
            <w:t xml:space="preserve">Утвърдени </w:t>
          </w:r>
          <w:r w:rsidR="00D9022B">
            <w:rPr>
              <w:rFonts w:ascii="Verdana" w:hAnsi="Verdana"/>
              <w:b/>
              <w:bCs/>
              <w:sz w:val="16"/>
              <w:szCs w:val="16"/>
              <w:lang w:val="bg-BG"/>
            </w:rPr>
            <w:t>със заповед № РД46-……/…...2023 г. на министъра на земеделието и храните</w:t>
          </w:r>
        </w:p>
      </w:tc>
      <w:tc>
        <w:tcPr>
          <w:tcW w:w="2018" w:type="dxa"/>
          <w:vMerge/>
        </w:tcPr>
        <w:p w:rsidR="005A1BE8" w:rsidRPr="00DC6334" w:rsidRDefault="005A1BE8" w:rsidP="00C5060B">
          <w:pPr>
            <w:pStyle w:val="Header"/>
            <w:rPr>
              <w:lang w:val="bg-BG"/>
            </w:rPr>
          </w:pPr>
        </w:p>
      </w:tc>
    </w:tr>
  </w:tbl>
  <w:p w:rsidR="005A1BE8" w:rsidRPr="00DC6334" w:rsidRDefault="005A1BE8" w:rsidP="00E80B4A">
    <w:pPr>
      <w:pStyle w:val="Header"/>
      <w:tabs>
        <w:tab w:val="clear" w:pos="9072"/>
        <w:tab w:val="left" w:pos="6315"/>
      </w:tabs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6134"/>
    <w:multiLevelType w:val="hybridMultilevel"/>
    <w:tmpl w:val="C71CF9BA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550057B"/>
    <w:multiLevelType w:val="hybridMultilevel"/>
    <w:tmpl w:val="A99C5002"/>
    <w:lvl w:ilvl="0" w:tplc="C1465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435D5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2AF6626"/>
    <w:multiLevelType w:val="hybridMultilevel"/>
    <w:tmpl w:val="18C6BFCC"/>
    <w:lvl w:ilvl="0" w:tplc="6E7038CE">
      <w:start w:val="3"/>
      <w:numFmt w:val="bullet"/>
      <w:lvlText w:val="-"/>
      <w:lvlJc w:val="left"/>
      <w:pPr>
        <w:ind w:left="1931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2E62605"/>
    <w:multiLevelType w:val="hybridMultilevel"/>
    <w:tmpl w:val="969ECE02"/>
    <w:lvl w:ilvl="0" w:tplc="6E7038CE">
      <w:start w:val="3"/>
      <w:numFmt w:val="bullet"/>
      <w:lvlText w:val="-"/>
      <w:lvlJc w:val="left"/>
      <w:pPr>
        <w:ind w:left="3011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5" w15:restartNumberingAfterBreak="0">
    <w:nsid w:val="205B78D1"/>
    <w:multiLevelType w:val="hybridMultilevel"/>
    <w:tmpl w:val="9CBA091A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2C05D1C"/>
    <w:multiLevelType w:val="hybridMultilevel"/>
    <w:tmpl w:val="B0E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F7319"/>
    <w:multiLevelType w:val="hybridMultilevel"/>
    <w:tmpl w:val="9F10923C"/>
    <w:lvl w:ilvl="0" w:tplc="6E7038CE">
      <w:start w:val="3"/>
      <w:numFmt w:val="bullet"/>
      <w:lvlText w:val="-"/>
      <w:lvlJc w:val="left"/>
      <w:pPr>
        <w:ind w:left="107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8" w15:restartNumberingAfterBreak="0">
    <w:nsid w:val="23581EEF"/>
    <w:multiLevelType w:val="hybridMultilevel"/>
    <w:tmpl w:val="155E32E4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6960C2D"/>
    <w:multiLevelType w:val="multilevel"/>
    <w:tmpl w:val="EC422AD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0" w15:restartNumberingAfterBreak="0">
    <w:nsid w:val="2A566494"/>
    <w:multiLevelType w:val="hybridMultilevel"/>
    <w:tmpl w:val="BF8E4E1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B5CE9A2">
      <w:numFmt w:val="bullet"/>
      <w:lvlText w:val="-"/>
      <w:lvlJc w:val="left"/>
      <w:pPr>
        <w:ind w:left="2966" w:hanging="1035"/>
      </w:pPr>
      <w:rPr>
        <w:rFonts w:ascii="Verdana" w:eastAsia="Batang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9D0591"/>
    <w:multiLevelType w:val="hybridMultilevel"/>
    <w:tmpl w:val="83E2F87E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C70E05"/>
    <w:multiLevelType w:val="hybridMultilevel"/>
    <w:tmpl w:val="BCAA5C38"/>
    <w:lvl w:ilvl="0" w:tplc="6E7038CE">
      <w:start w:val="3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44B94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52F175D"/>
    <w:multiLevelType w:val="hybridMultilevel"/>
    <w:tmpl w:val="C3A638E6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6C7399"/>
    <w:multiLevelType w:val="hybridMultilevel"/>
    <w:tmpl w:val="48FECB5C"/>
    <w:lvl w:ilvl="0" w:tplc="55609BA4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79B6E47"/>
    <w:multiLevelType w:val="hybridMultilevel"/>
    <w:tmpl w:val="6A8A9720"/>
    <w:lvl w:ilvl="0" w:tplc="6E7038CE">
      <w:start w:val="3"/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747A7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1FE3CCE"/>
    <w:multiLevelType w:val="hybridMultilevel"/>
    <w:tmpl w:val="81ECCF04"/>
    <w:lvl w:ilvl="0" w:tplc="6E7038CE">
      <w:start w:val="3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D52E1C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B936B4D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03E6BA6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8BA02B7"/>
    <w:multiLevelType w:val="hybridMultilevel"/>
    <w:tmpl w:val="A3EAC0AA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62B27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65A2A33"/>
    <w:multiLevelType w:val="hybridMultilevel"/>
    <w:tmpl w:val="D9B6B5F0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6EA4C8D"/>
    <w:multiLevelType w:val="hybridMultilevel"/>
    <w:tmpl w:val="D9B6B5F0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7060090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CF05697"/>
    <w:multiLevelType w:val="multilevel"/>
    <w:tmpl w:val="EC422AD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8" w15:restartNumberingAfterBreak="0">
    <w:nsid w:val="7DB6007E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FC5042B"/>
    <w:multiLevelType w:val="hybridMultilevel"/>
    <w:tmpl w:val="345E8122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8"/>
  </w:num>
  <w:num w:numId="3">
    <w:abstractNumId w:val="1"/>
  </w:num>
  <w:num w:numId="4">
    <w:abstractNumId w:val="14"/>
  </w:num>
  <w:num w:numId="5">
    <w:abstractNumId w:val="8"/>
  </w:num>
  <w:num w:numId="6">
    <w:abstractNumId w:val="29"/>
  </w:num>
  <w:num w:numId="7">
    <w:abstractNumId w:val="0"/>
  </w:num>
  <w:num w:numId="8">
    <w:abstractNumId w:val="27"/>
  </w:num>
  <w:num w:numId="9">
    <w:abstractNumId w:val="15"/>
  </w:num>
  <w:num w:numId="10">
    <w:abstractNumId w:val="11"/>
  </w:num>
  <w:num w:numId="11">
    <w:abstractNumId w:val="22"/>
  </w:num>
  <w:num w:numId="12">
    <w:abstractNumId w:val="7"/>
  </w:num>
  <w:num w:numId="13">
    <w:abstractNumId w:val="3"/>
  </w:num>
  <w:num w:numId="14">
    <w:abstractNumId w:val="4"/>
  </w:num>
  <w:num w:numId="15">
    <w:abstractNumId w:val="12"/>
  </w:num>
  <w:num w:numId="16">
    <w:abstractNumId w:val="25"/>
  </w:num>
  <w:num w:numId="17">
    <w:abstractNumId w:val="13"/>
  </w:num>
  <w:num w:numId="18">
    <w:abstractNumId w:val="23"/>
  </w:num>
  <w:num w:numId="19">
    <w:abstractNumId w:val="21"/>
  </w:num>
  <w:num w:numId="20">
    <w:abstractNumId w:val="17"/>
  </w:num>
  <w:num w:numId="21">
    <w:abstractNumId w:val="2"/>
  </w:num>
  <w:num w:numId="22">
    <w:abstractNumId w:val="20"/>
  </w:num>
  <w:num w:numId="23">
    <w:abstractNumId w:val="19"/>
  </w:num>
  <w:num w:numId="24">
    <w:abstractNumId w:val="9"/>
  </w:num>
  <w:num w:numId="25">
    <w:abstractNumId w:val="28"/>
  </w:num>
  <w:num w:numId="26">
    <w:abstractNumId w:val="26"/>
  </w:num>
  <w:num w:numId="27">
    <w:abstractNumId w:val="5"/>
  </w:num>
  <w:num w:numId="28">
    <w:abstractNumId w:val="24"/>
  </w:num>
  <w:num w:numId="29">
    <w:abstractNumId w:val="10"/>
  </w:num>
  <w:num w:numId="3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3E6"/>
    <w:rsid w:val="000023CF"/>
    <w:rsid w:val="000033C3"/>
    <w:rsid w:val="00010085"/>
    <w:rsid w:val="00010388"/>
    <w:rsid w:val="000168AA"/>
    <w:rsid w:val="00026F42"/>
    <w:rsid w:val="00027F29"/>
    <w:rsid w:val="0003341D"/>
    <w:rsid w:val="00034947"/>
    <w:rsid w:val="00037CFE"/>
    <w:rsid w:val="00041AEF"/>
    <w:rsid w:val="000511BF"/>
    <w:rsid w:val="00052709"/>
    <w:rsid w:val="00054BA1"/>
    <w:rsid w:val="00061B59"/>
    <w:rsid w:val="000622B8"/>
    <w:rsid w:val="00063415"/>
    <w:rsid w:val="0007381F"/>
    <w:rsid w:val="000742B5"/>
    <w:rsid w:val="00075F43"/>
    <w:rsid w:val="0008093F"/>
    <w:rsid w:val="000923F8"/>
    <w:rsid w:val="000B3F57"/>
    <w:rsid w:val="000B6F40"/>
    <w:rsid w:val="000C0CB7"/>
    <w:rsid w:val="000C32CE"/>
    <w:rsid w:val="000C4327"/>
    <w:rsid w:val="000D140A"/>
    <w:rsid w:val="000D2D17"/>
    <w:rsid w:val="000D2DBC"/>
    <w:rsid w:val="000D3540"/>
    <w:rsid w:val="000E2884"/>
    <w:rsid w:val="000E3DF3"/>
    <w:rsid w:val="000E4CE1"/>
    <w:rsid w:val="000E6D50"/>
    <w:rsid w:val="000F02FD"/>
    <w:rsid w:val="000F17F8"/>
    <w:rsid w:val="000F20E2"/>
    <w:rsid w:val="000F391A"/>
    <w:rsid w:val="000F516B"/>
    <w:rsid w:val="001019E7"/>
    <w:rsid w:val="00105455"/>
    <w:rsid w:val="00114973"/>
    <w:rsid w:val="001169EA"/>
    <w:rsid w:val="00120498"/>
    <w:rsid w:val="0012215C"/>
    <w:rsid w:val="00130D30"/>
    <w:rsid w:val="001311B3"/>
    <w:rsid w:val="00132341"/>
    <w:rsid w:val="00133105"/>
    <w:rsid w:val="001331A6"/>
    <w:rsid w:val="001408A6"/>
    <w:rsid w:val="0015652E"/>
    <w:rsid w:val="00165FE8"/>
    <w:rsid w:val="00166F26"/>
    <w:rsid w:val="00171E86"/>
    <w:rsid w:val="001756B6"/>
    <w:rsid w:val="00181938"/>
    <w:rsid w:val="00181A60"/>
    <w:rsid w:val="00181BB8"/>
    <w:rsid w:val="00183DCF"/>
    <w:rsid w:val="001918D5"/>
    <w:rsid w:val="001967CB"/>
    <w:rsid w:val="001B47DF"/>
    <w:rsid w:val="001B78E4"/>
    <w:rsid w:val="001C506B"/>
    <w:rsid w:val="001C7EEC"/>
    <w:rsid w:val="001D2C4F"/>
    <w:rsid w:val="001D3B7C"/>
    <w:rsid w:val="001E1C94"/>
    <w:rsid w:val="001E4721"/>
    <w:rsid w:val="001E5A96"/>
    <w:rsid w:val="001E624A"/>
    <w:rsid w:val="001F2699"/>
    <w:rsid w:val="001F28A2"/>
    <w:rsid w:val="001F56D5"/>
    <w:rsid w:val="00206F7A"/>
    <w:rsid w:val="002073D2"/>
    <w:rsid w:val="00212933"/>
    <w:rsid w:val="00220975"/>
    <w:rsid w:val="0022438B"/>
    <w:rsid w:val="002269A1"/>
    <w:rsid w:val="00230A0E"/>
    <w:rsid w:val="002456E1"/>
    <w:rsid w:val="00246217"/>
    <w:rsid w:val="0026496F"/>
    <w:rsid w:val="00265C10"/>
    <w:rsid w:val="00273301"/>
    <w:rsid w:val="00294A53"/>
    <w:rsid w:val="00294E43"/>
    <w:rsid w:val="002A0BDE"/>
    <w:rsid w:val="002A1D50"/>
    <w:rsid w:val="002A4C1B"/>
    <w:rsid w:val="002B0E77"/>
    <w:rsid w:val="002B21EE"/>
    <w:rsid w:val="002B48BA"/>
    <w:rsid w:val="002C350D"/>
    <w:rsid w:val="002D7EAD"/>
    <w:rsid w:val="002E13DE"/>
    <w:rsid w:val="002E412D"/>
    <w:rsid w:val="002F33C9"/>
    <w:rsid w:val="002F3DA8"/>
    <w:rsid w:val="002F522A"/>
    <w:rsid w:val="0030527D"/>
    <w:rsid w:val="00306E41"/>
    <w:rsid w:val="0031012F"/>
    <w:rsid w:val="00311131"/>
    <w:rsid w:val="00312493"/>
    <w:rsid w:val="0031256B"/>
    <w:rsid w:val="00325B15"/>
    <w:rsid w:val="00331E37"/>
    <w:rsid w:val="003350CD"/>
    <w:rsid w:val="00336E49"/>
    <w:rsid w:val="00341137"/>
    <w:rsid w:val="003450EE"/>
    <w:rsid w:val="00346466"/>
    <w:rsid w:val="003526B1"/>
    <w:rsid w:val="00352F0E"/>
    <w:rsid w:val="003553C7"/>
    <w:rsid w:val="00355458"/>
    <w:rsid w:val="00360936"/>
    <w:rsid w:val="0037103B"/>
    <w:rsid w:val="0037546D"/>
    <w:rsid w:val="003808C2"/>
    <w:rsid w:val="00390F38"/>
    <w:rsid w:val="0039667D"/>
    <w:rsid w:val="003A3182"/>
    <w:rsid w:val="003B0100"/>
    <w:rsid w:val="003B0317"/>
    <w:rsid w:val="003B37E7"/>
    <w:rsid w:val="003B6A11"/>
    <w:rsid w:val="003C5FA1"/>
    <w:rsid w:val="003C7BD2"/>
    <w:rsid w:val="003D1546"/>
    <w:rsid w:val="003D2C50"/>
    <w:rsid w:val="003D3461"/>
    <w:rsid w:val="003D5B72"/>
    <w:rsid w:val="003D7DDD"/>
    <w:rsid w:val="003E0391"/>
    <w:rsid w:val="003E3BC4"/>
    <w:rsid w:val="003E7425"/>
    <w:rsid w:val="00400656"/>
    <w:rsid w:val="00400CB5"/>
    <w:rsid w:val="00402A14"/>
    <w:rsid w:val="00415EFB"/>
    <w:rsid w:val="00416028"/>
    <w:rsid w:val="004211D7"/>
    <w:rsid w:val="00421764"/>
    <w:rsid w:val="00422EAA"/>
    <w:rsid w:val="0042409E"/>
    <w:rsid w:val="00450B95"/>
    <w:rsid w:val="004541D5"/>
    <w:rsid w:val="00461628"/>
    <w:rsid w:val="004664CB"/>
    <w:rsid w:val="00476C8B"/>
    <w:rsid w:val="00480EC5"/>
    <w:rsid w:val="00491017"/>
    <w:rsid w:val="00491AE2"/>
    <w:rsid w:val="0049403A"/>
    <w:rsid w:val="00497380"/>
    <w:rsid w:val="00497AD9"/>
    <w:rsid w:val="004B3286"/>
    <w:rsid w:val="004B5EFC"/>
    <w:rsid w:val="004B6D91"/>
    <w:rsid w:val="004C0DB5"/>
    <w:rsid w:val="004C2139"/>
    <w:rsid w:val="004C3376"/>
    <w:rsid w:val="004E2EBF"/>
    <w:rsid w:val="004F1657"/>
    <w:rsid w:val="004F2FDF"/>
    <w:rsid w:val="00506CE3"/>
    <w:rsid w:val="00515592"/>
    <w:rsid w:val="00521413"/>
    <w:rsid w:val="00524755"/>
    <w:rsid w:val="00526D84"/>
    <w:rsid w:val="00532B8C"/>
    <w:rsid w:val="00543198"/>
    <w:rsid w:val="00553352"/>
    <w:rsid w:val="00554CCA"/>
    <w:rsid w:val="00561275"/>
    <w:rsid w:val="00573695"/>
    <w:rsid w:val="00575676"/>
    <w:rsid w:val="00582382"/>
    <w:rsid w:val="005974A5"/>
    <w:rsid w:val="005A1BE8"/>
    <w:rsid w:val="005A1C24"/>
    <w:rsid w:val="005C06C9"/>
    <w:rsid w:val="005C258C"/>
    <w:rsid w:val="005C3885"/>
    <w:rsid w:val="005D2EFF"/>
    <w:rsid w:val="005E4B21"/>
    <w:rsid w:val="005E4D65"/>
    <w:rsid w:val="005E6E1A"/>
    <w:rsid w:val="005F2083"/>
    <w:rsid w:val="005F66A6"/>
    <w:rsid w:val="005F759D"/>
    <w:rsid w:val="00603298"/>
    <w:rsid w:val="00604020"/>
    <w:rsid w:val="00612E1A"/>
    <w:rsid w:val="00634465"/>
    <w:rsid w:val="006350B2"/>
    <w:rsid w:val="00642B4C"/>
    <w:rsid w:val="00645A6C"/>
    <w:rsid w:val="0064772D"/>
    <w:rsid w:val="006513BB"/>
    <w:rsid w:val="00653904"/>
    <w:rsid w:val="006565AF"/>
    <w:rsid w:val="00663CEB"/>
    <w:rsid w:val="00663EA0"/>
    <w:rsid w:val="00671452"/>
    <w:rsid w:val="006776CF"/>
    <w:rsid w:val="00685618"/>
    <w:rsid w:val="00685731"/>
    <w:rsid w:val="00687BA5"/>
    <w:rsid w:val="006909B0"/>
    <w:rsid w:val="006910DA"/>
    <w:rsid w:val="006920FC"/>
    <w:rsid w:val="00693F8D"/>
    <w:rsid w:val="00695450"/>
    <w:rsid w:val="00696823"/>
    <w:rsid w:val="006A1D65"/>
    <w:rsid w:val="006B4A65"/>
    <w:rsid w:val="006C5BFE"/>
    <w:rsid w:val="006D04D0"/>
    <w:rsid w:val="006D2BCD"/>
    <w:rsid w:val="006E38EF"/>
    <w:rsid w:val="0071136C"/>
    <w:rsid w:val="00712084"/>
    <w:rsid w:val="00712465"/>
    <w:rsid w:val="00727BEA"/>
    <w:rsid w:val="00741504"/>
    <w:rsid w:val="007444E5"/>
    <w:rsid w:val="0074760E"/>
    <w:rsid w:val="00750D96"/>
    <w:rsid w:val="007512E2"/>
    <w:rsid w:val="00753E56"/>
    <w:rsid w:val="007548C6"/>
    <w:rsid w:val="00757787"/>
    <w:rsid w:val="007613E6"/>
    <w:rsid w:val="00765AE5"/>
    <w:rsid w:val="00766D32"/>
    <w:rsid w:val="00776615"/>
    <w:rsid w:val="007A14F3"/>
    <w:rsid w:val="007A6AC4"/>
    <w:rsid w:val="007B61CC"/>
    <w:rsid w:val="007C3CE9"/>
    <w:rsid w:val="007D0AA2"/>
    <w:rsid w:val="007E5E20"/>
    <w:rsid w:val="007E679B"/>
    <w:rsid w:val="008051A2"/>
    <w:rsid w:val="008077E5"/>
    <w:rsid w:val="0081200B"/>
    <w:rsid w:val="00816D0A"/>
    <w:rsid w:val="00823B9C"/>
    <w:rsid w:val="008244C5"/>
    <w:rsid w:val="00825F72"/>
    <w:rsid w:val="00837844"/>
    <w:rsid w:val="00840097"/>
    <w:rsid w:val="00841DC0"/>
    <w:rsid w:val="0085215D"/>
    <w:rsid w:val="0086344E"/>
    <w:rsid w:val="00864CB1"/>
    <w:rsid w:val="00865275"/>
    <w:rsid w:val="00867A20"/>
    <w:rsid w:val="00867EEF"/>
    <w:rsid w:val="00871C6B"/>
    <w:rsid w:val="008743C9"/>
    <w:rsid w:val="008764C3"/>
    <w:rsid w:val="00881ADD"/>
    <w:rsid w:val="008861F3"/>
    <w:rsid w:val="00890C70"/>
    <w:rsid w:val="00891301"/>
    <w:rsid w:val="00891FE4"/>
    <w:rsid w:val="008A3948"/>
    <w:rsid w:val="008A73BE"/>
    <w:rsid w:val="008A7631"/>
    <w:rsid w:val="008B384D"/>
    <w:rsid w:val="008B6274"/>
    <w:rsid w:val="008D46AC"/>
    <w:rsid w:val="008D79B6"/>
    <w:rsid w:val="008E075E"/>
    <w:rsid w:val="008E1F4C"/>
    <w:rsid w:val="008E2734"/>
    <w:rsid w:val="008F584A"/>
    <w:rsid w:val="00903BF6"/>
    <w:rsid w:val="00904AB0"/>
    <w:rsid w:val="00912FA4"/>
    <w:rsid w:val="00913DE3"/>
    <w:rsid w:val="009169B7"/>
    <w:rsid w:val="00916C04"/>
    <w:rsid w:val="009219C8"/>
    <w:rsid w:val="00924ECE"/>
    <w:rsid w:val="00927910"/>
    <w:rsid w:val="009344A2"/>
    <w:rsid w:val="0093770B"/>
    <w:rsid w:val="0094239E"/>
    <w:rsid w:val="00944F90"/>
    <w:rsid w:val="0094628C"/>
    <w:rsid w:val="00947FE8"/>
    <w:rsid w:val="009549C4"/>
    <w:rsid w:val="009610A8"/>
    <w:rsid w:val="009618EC"/>
    <w:rsid w:val="0096292B"/>
    <w:rsid w:val="0096483F"/>
    <w:rsid w:val="00965884"/>
    <w:rsid w:val="00973551"/>
    <w:rsid w:val="009758CC"/>
    <w:rsid w:val="00975985"/>
    <w:rsid w:val="00980C6E"/>
    <w:rsid w:val="00982A70"/>
    <w:rsid w:val="00983D60"/>
    <w:rsid w:val="00983EE2"/>
    <w:rsid w:val="00986617"/>
    <w:rsid w:val="00990F05"/>
    <w:rsid w:val="00992E28"/>
    <w:rsid w:val="00995641"/>
    <w:rsid w:val="00995AF3"/>
    <w:rsid w:val="009A28DB"/>
    <w:rsid w:val="009B2ED7"/>
    <w:rsid w:val="009B7D5A"/>
    <w:rsid w:val="009C47FC"/>
    <w:rsid w:val="009C6D2B"/>
    <w:rsid w:val="009D30B5"/>
    <w:rsid w:val="009F2BF5"/>
    <w:rsid w:val="009F3F0B"/>
    <w:rsid w:val="009F4017"/>
    <w:rsid w:val="00A1567E"/>
    <w:rsid w:val="00A178BB"/>
    <w:rsid w:val="00A2239E"/>
    <w:rsid w:val="00A2308A"/>
    <w:rsid w:val="00A239BD"/>
    <w:rsid w:val="00A27033"/>
    <w:rsid w:val="00A367AE"/>
    <w:rsid w:val="00A403AA"/>
    <w:rsid w:val="00A40A22"/>
    <w:rsid w:val="00A45E0B"/>
    <w:rsid w:val="00A4661A"/>
    <w:rsid w:val="00A50F0F"/>
    <w:rsid w:val="00A55793"/>
    <w:rsid w:val="00A71FC3"/>
    <w:rsid w:val="00A75647"/>
    <w:rsid w:val="00A75B2E"/>
    <w:rsid w:val="00A768D9"/>
    <w:rsid w:val="00A83E79"/>
    <w:rsid w:val="00A90E88"/>
    <w:rsid w:val="00AA558E"/>
    <w:rsid w:val="00AA63D9"/>
    <w:rsid w:val="00AA6A4F"/>
    <w:rsid w:val="00AA6B32"/>
    <w:rsid w:val="00AB0336"/>
    <w:rsid w:val="00AB6CD8"/>
    <w:rsid w:val="00AC6829"/>
    <w:rsid w:val="00AC6A33"/>
    <w:rsid w:val="00AC6C9B"/>
    <w:rsid w:val="00AD3424"/>
    <w:rsid w:val="00AD391F"/>
    <w:rsid w:val="00AD67FA"/>
    <w:rsid w:val="00AD7078"/>
    <w:rsid w:val="00AE30C7"/>
    <w:rsid w:val="00AF0D3F"/>
    <w:rsid w:val="00AF6870"/>
    <w:rsid w:val="00AF7E1C"/>
    <w:rsid w:val="00B02430"/>
    <w:rsid w:val="00B04845"/>
    <w:rsid w:val="00B10AA6"/>
    <w:rsid w:val="00B222D9"/>
    <w:rsid w:val="00B40FAD"/>
    <w:rsid w:val="00B43705"/>
    <w:rsid w:val="00B5571E"/>
    <w:rsid w:val="00B55882"/>
    <w:rsid w:val="00B56E78"/>
    <w:rsid w:val="00B5779D"/>
    <w:rsid w:val="00B6180A"/>
    <w:rsid w:val="00B66605"/>
    <w:rsid w:val="00B71220"/>
    <w:rsid w:val="00B75551"/>
    <w:rsid w:val="00B76B2F"/>
    <w:rsid w:val="00B76BAD"/>
    <w:rsid w:val="00B87C0D"/>
    <w:rsid w:val="00B93D49"/>
    <w:rsid w:val="00B979A5"/>
    <w:rsid w:val="00BA01BB"/>
    <w:rsid w:val="00BA1B51"/>
    <w:rsid w:val="00BA3581"/>
    <w:rsid w:val="00BA5085"/>
    <w:rsid w:val="00BB0CFD"/>
    <w:rsid w:val="00BB5685"/>
    <w:rsid w:val="00BB6668"/>
    <w:rsid w:val="00BC120C"/>
    <w:rsid w:val="00BC2A89"/>
    <w:rsid w:val="00BC3778"/>
    <w:rsid w:val="00BD0F48"/>
    <w:rsid w:val="00BE3585"/>
    <w:rsid w:val="00BE3913"/>
    <w:rsid w:val="00BE7759"/>
    <w:rsid w:val="00BF5887"/>
    <w:rsid w:val="00BF7B02"/>
    <w:rsid w:val="00C07E5B"/>
    <w:rsid w:val="00C138CC"/>
    <w:rsid w:val="00C222E5"/>
    <w:rsid w:val="00C23A99"/>
    <w:rsid w:val="00C23DAD"/>
    <w:rsid w:val="00C2748A"/>
    <w:rsid w:val="00C3178D"/>
    <w:rsid w:val="00C365D0"/>
    <w:rsid w:val="00C40A53"/>
    <w:rsid w:val="00C40D0E"/>
    <w:rsid w:val="00C41102"/>
    <w:rsid w:val="00C41E1D"/>
    <w:rsid w:val="00C41FE5"/>
    <w:rsid w:val="00C46B81"/>
    <w:rsid w:val="00C4786C"/>
    <w:rsid w:val="00C5060B"/>
    <w:rsid w:val="00C54DBB"/>
    <w:rsid w:val="00C7053F"/>
    <w:rsid w:val="00C70EE1"/>
    <w:rsid w:val="00C7643C"/>
    <w:rsid w:val="00C821B6"/>
    <w:rsid w:val="00C833B6"/>
    <w:rsid w:val="00C856CE"/>
    <w:rsid w:val="00C858EB"/>
    <w:rsid w:val="00C874CF"/>
    <w:rsid w:val="00C9012A"/>
    <w:rsid w:val="00C904E6"/>
    <w:rsid w:val="00CA0543"/>
    <w:rsid w:val="00CB0290"/>
    <w:rsid w:val="00CB130B"/>
    <w:rsid w:val="00CB33B3"/>
    <w:rsid w:val="00CB5B23"/>
    <w:rsid w:val="00CC14ED"/>
    <w:rsid w:val="00CC31FE"/>
    <w:rsid w:val="00CC4E72"/>
    <w:rsid w:val="00CD4FC6"/>
    <w:rsid w:val="00CE07A1"/>
    <w:rsid w:val="00CE36FC"/>
    <w:rsid w:val="00CE73F8"/>
    <w:rsid w:val="00CE7618"/>
    <w:rsid w:val="00CF367A"/>
    <w:rsid w:val="00D337F0"/>
    <w:rsid w:val="00D42DD7"/>
    <w:rsid w:val="00D43377"/>
    <w:rsid w:val="00D47381"/>
    <w:rsid w:val="00D47407"/>
    <w:rsid w:val="00D55DD2"/>
    <w:rsid w:val="00D62A3B"/>
    <w:rsid w:val="00D62D74"/>
    <w:rsid w:val="00D7519A"/>
    <w:rsid w:val="00D77D4D"/>
    <w:rsid w:val="00D9022B"/>
    <w:rsid w:val="00D92BCF"/>
    <w:rsid w:val="00D935D6"/>
    <w:rsid w:val="00DA0F40"/>
    <w:rsid w:val="00DA38EB"/>
    <w:rsid w:val="00DB01EB"/>
    <w:rsid w:val="00DB0954"/>
    <w:rsid w:val="00DB2244"/>
    <w:rsid w:val="00DB450E"/>
    <w:rsid w:val="00DB568D"/>
    <w:rsid w:val="00DC703C"/>
    <w:rsid w:val="00DD2454"/>
    <w:rsid w:val="00DD2A89"/>
    <w:rsid w:val="00DE499F"/>
    <w:rsid w:val="00DF0E81"/>
    <w:rsid w:val="00DF15F2"/>
    <w:rsid w:val="00DF2EB6"/>
    <w:rsid w:val="00DF6E70"/>
    <w:rsid w:val="00E03683"/>
    <w:rsid w:val="00E10E3E"/>
    <w:rsid w:val="00E11D63"/>
    <w:rsid w:val="00E20449"/>
    <w:rsid w:val="00E32AAF"/>
    <w:rsid w:val="00E32EC4"/>
    <w:rsid w:val="00E40CD6"/>
    <w:rsid w:val="00E42C9C"/>
    <w:rsid w:val="00E42D85"/>
    <w:rsid w:val="00E42DE1"/>
    <w:rsid w:val="00E43970"/>
    <w:rsid w:val="00E46D04"/>
    <w:rsid w:val="00E53744"/>
    <w:rsid w:val="00E53E17"/>
    <w:rsid w:val="00E632AA"/>
    <w:rsid w:val="00E66399"/>
    <w:rsid w:val="00E742C1"/>
    <w:rsid w:val="00E80B4A"/>
    <w:rsid w:val="00E833E5"/>
    <w:rsid w:val="00E85B6C"/>
    <w:rsid w:val="00E91EEF"/>
    <w:rsid w:val="00E978D0"/>
    <w:rsid w:val="00EA1FBF"/>
    <w:rsid w:val="00EA2109"/>
    <w:rsid w:val="00EA3A21"/>
    <w:rsid w:val="00EA5DE0"/>
    <w:rsid w:val="00EA7EF2"/>
    <w:rsid w:val="00EB01BC"/>
    <w:rsid w:val="00EB02E6"/>
    <w:rsid w:val="00EC3675"/>
    <w:rsid w:val="00EC3E9A"/>
    <w:rsid w:val="00ED3663"/>
    <w:rsid w:val="00EE02E3"/>
    <w:rsid w:val="00EE40FA"/>
    <w:rsid w:val="00EE5D96"/>
    <w:rsid w:val="00EF28A8"/>
    <w:rsid w:val="00EF4DCE"/>
    <w:rsid w:val="00EF75D6"/>
    <w:rsid w:val="00F02C16"/>
    <w:rsid w:val="00F073DF"/>
    <w:rsid w:val="00F10D9C"/>
    <w:rsid w:val="00F12F6C"/>
    <w:rsid w:val="00F162C9"/>
    <w:rsid w:val="00F2115E"/>
    <w:rsid w:val="00F259B6"/>
    <w:rsid w:val="00F25BE8"/>
    <w:rsid w:val="00F33337"/>
    <w:rsid w:val="00F41376"/>
    <w:rsid w:val="00F41D27"/>
    <w:rsid w:val="00F476EE"/>
    <w:rsid w:val="00F54439"/>
    <w:rsid w:val="00F667E3"/>
    <w:rsid w:val="00F70C19"/>
    <w:rsid w:val="00F81152"/>
    <w:rsid w:val="00F82613"/>
    <w:rsid w:val="00F82DC1"/>
    <w:rsid w:val="00F8447E"/>
    <w:rsid w:val="00FB44E9"/>
    <w:rsid w:val="00FB5CD4"/>
    <w:rsid w:val="00FC283C"/>
    <w:rsid w:val="00FC2A17"/>
    <w:rsid w:val="00FC5EA7"/>
    <w:rsid w:val="00FE06A2"/>
    <w:rsid w:val="00FF23C0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D66D7"/>
  <w15:docId w15:val="{A515482E-D758-40FD-9056-12AF411D4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3E6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613E6"/>
    <w:pPr>
      <w:keepNext/>
      <w:widowControl w:val="0"/>
      <w:shd w:val="clear" w:color="auto" w:fill="FFFFFF"/>
      <w:autoSpaceDE w:val="0"/>
      <w:autoSpaceDN w:val="0"/>
      <w:adjustRightInd w:val="0"/>
      <w:jc w:val="both"/>
      <w:outlineLvl w:val="0"/>
    </w:pPr>
    <w:rPr>
      <w:lang w:val="bg-BG"/>
    </w:rPr>
  </w:style>
  <w:style w:type="paragraph" w:styleId="Heading4">
    <w:name w:val="heading 4"/>
    <w:basedOn w:val="Normal"/>
    <w:next w:val="Normal"/>
    <w:link w:val="Heading4Char"/>
    <w:qFormat/>
    <w:rsid w:val="007613E6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3"/>
    </w:pPr>
    <w:rPr>
      <w:b/>
      <w:bCs/>
      <w:color w:val="000000"/>
      <w:sz w:val="23"/>
      <w:szCs w:val="23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13E6"/>
    <w:rPr>
      <w:rFonts w:ascii="Times New Roman" w:eastAsia="Batang" w:hAnsi="Times New Roman" w:cs="Times New Roman"/>
      <w:sz w:val="24"/>
      <w:szCs w:val="24"/>
      <w:shd w:val="clear" w:color="auto" w:fill="FFFFFF"/>
      <w:lang w:val="bg-BG" w:eastAsia="en-US"/>
    </w:rPr>
  </w:style>
  <w:style w:type="character" w:customStyle="1" w:styleId="Heading4Char">
    <w:name w:val="Heading 4 Char"/>
    <w:basedOn w:val="DefaultParagraphFont"/>
    <w:link w:val="Heading4"/>
    <w:rsid w:val="007613E6"/>
    <w:rPr>
      <w:rFonts w:ascii="Times New Roman" w:eastAsia="Batang" w:hAnsi="Times New Roman" w:cs="Times New Roman"/>
      <w:b/>
      <w:bCs/>
      <w:color w:val="000000"/>
      <w:sz w:val="23"/>
      <w:szCs w:val="23"/>
      <w:shd w:val="clear" w:color="auto" w:fill="FFFFFF"/>
      <w:lang w:val="bg-BG" w:eastAsia="en-US"/>
    </w:rPr>
  </w:style>
  <w:style w:type="paragraph" w:styleId="Footer">
    <w:name w:val="footer"/>
    <w:basedOn w:val="Normal"/>
    <w:link w:val="FooterChar"/>
    <w:rsid w:val="007613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13E6"/>
    <w:rPr>
      <w:rFonts w:ascii="Times New Roman" w:eastAsia="Batang" w:hAnsi="Times New Roman" w:cs="Times New Roman"/>
      <w:sz w:val="24"/>
      <w:szCs w:val="24"/>
      <w:lang w:val="en-GB" w:eastAsia="en-US"/>
    </w:rPr>
  </w:style>
  <w:style w:type="character" w:styleId="PageNumber">
    <w:name w:val="page number"/>
    <w:basedOn w:val="DefaultParagraphFont"/>
    <w:rsid w:val="007613E6"/>
  </w:style>
  <w:style w:type="paragraph" w:styleId="Header">
    <w:name w:val="header"/>
    <w:basedOn w:val="Normal"/>
    <w:link w:val="HeaderChar"/>
    <w:rsid w:val="007613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613E6"/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613E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IE"/>
    </w:rPr>
  </w:style>
  <w:style w:type="character" w:customStyle="1" w:styleId="st1">
    <w:name w:val="st1"/>
    <w:rsid w:val="007613E6"/>
  </w:style>
  <w:style w:type="paragraph" w:styleId="BalloonText">
    <w:name w:val="Balloon Text"/>
    <w:basedOn w:val="Normal"/>
    <w:link w:val="BalloonTextChar"/>
    <w:uiPriority w:val="99"/>
    <w:semiHidden/>
    <w:unhideWhenUsed/>
    <w:rsid w:val="007613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E6"/>
    <w:rPr>
      <w:rFonts w:ascii="Tahoma" w:eastAsia="Batang" w:hAnsi="Tahoma" w:cs="Tahoma"/>
      <w:sz w:val="16"/>
      <w:szCs w:val="16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31012F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2215C"/>
    <w:pPr>
      <w:ind w:firstLine="990"/>
      <w:jc w:val="both"/>
    </w:pPr>
    <w:rPr>
      <w:rFonts w:eastAsia="Times New Roman"/>
      <w:color w:val="000000"/>
      <w:lang w:val="en-US" w:eastAsia="zh-CN"/>
    </w:rPr>
  </w:style>
  <w:style w:type="paragraph" w:customStyle="1" w:styleId="m">
    <w:name w:val="m"/>
    <w:basedOn w:val="Normal"/>
    <w:rsid w:val="0012215C"/>
    <w:pPr>
      <w:ind w:firstLine="990"/>
      <w:jc w:val="both"/>
    </w:pPr>
    <w:rPr>
      <w:rFonts w:eastAsia="Times New Roman"/>
      <w:color w:val="000000"/>
      <w:lang w:val="en-US" w:eastAsia="zh-CN"/>
    </w:rPr>
  </w:style>
  <w:style w:type="paragraph" w:customStyle="1" w:styleId="modref2">
    <w:name w:val="modref2"/>
    <w:basedOn w:val="Normal"/>
    <w:rsid w:val="00037CFE"/>
    <w:pPr>
      <w:spacing w:before="120" w:line="312" w:lineRule="atLeast"/>
    </w:pPr>
    <w:rPr>
      <w:rFonts w:eastAsia="Times New Roman"/>
      <w:b/>
      <w:bCs/>
      <w:lang w:val="bg-BG" w:eastAsia="bg-BG"/>
    </w:rPr>
  </w:style>
  <w:style w:type="paragraph" w:customStyle="1" w:styleId="norm4">
    <w:name w:val="norm4"/>
    <w:basedOn w:val="Normal"/>
    <w:rsid w:val="00037CFE"/>
    <w:pPr>
      <w:spacing w:before="120" w:line="312" w:lineRule="atLeast"/>
      <w:jc w:val="both"/>
    </w:pPr>
    <w:rPr>
      <w:rFonts w:eastAsia="Times New Roman"/>
      <w:lang w:val="bg-BG" w:eastAsia="bg-BG"/>
    </w:rPr>
  </w:style>
  <w:style w:type="paragraph" w:customStyle="1" w:styleId="stitle-article-norm2">
    <w:name w:val="stitle-article-norm2"/>
    <w:basedOn w:val="Normal"/>
    <w:rsid w:val="00037CFE"/>
    <w:pPr>
      <w:spacing w:before="240" w:after="120" w:line="312" w:lineRule="atLeast"/>
      <w:jc w:val="center"/>
    </w:pPr>
    <w:rPr>
      <w:rFonts w:eastAsia="Times New Roman"/>
      <w:b/>
      <w:bCs/>
      <w:lang w:val="bg-BG" w:eastAsia="bg-BG"/>
    </w:rPr>
  </w:style>
  <w:style w:type="paragraph" w:customStyle="1" w:styleId="title-article-norm2">
    <w:name w:val="title-article-norm2"/>
    <w:basedOn w:val="Normal"/>
    <w:rsid w:val="00037CFE"/>
    <w:pPr>
      <w:spacing w:before="240" w:after="120" w:line="312" w:lineRule="atLeast"/>
      <w:jc w:val="center"/>
    </w:pPr>
    <w:rPr>
      <w:rFonts w:eastAsia="Times New Roman"/>
      <w:i/>
      <w:iCs/>
      <w:lang w:val="bg-BG" w:eastAsia="bg-BG"/>
    </w:rPr>
  </w:style>
  <w:style w:type="character" w:styleId="IntenseEmphasis">
    <w:name w:val="Intense Emphasis"/>
    <w:basedOn w:val="DefaultParagraphFont"/>
    <w:uiPriority w:val="21"/>
    <w:qFormat/>
    <w:rsid w:val="00BB6668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DF1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9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6965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30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66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8484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26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08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30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303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04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0306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315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8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0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14713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82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2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0632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02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52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096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3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38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040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043253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228450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145908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842706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807110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3819876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3108345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659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9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1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42407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08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0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35017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659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8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782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427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43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398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7032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1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32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08745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86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64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563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897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295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651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698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77798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931250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0093557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93627744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1576458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0755801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7050677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7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Popova</dc:creator>
  <cp:lastModifiedBy>Kalina Popova</cp:lastModifiedBy>
  <cp:revision>4</cp:revision>
  <cp:lastPrinted>2023-01-05T07:44:00Z</cp:lastPrinted>
  <dcterms:created xsi:type="dcterms:W3CDTF">2023-07-19T11:33:00Z</dcterms:created>
  <dcterms:modified xsi:type="dcterms:W3CDTF">2023-07-25T07:32:00Z</dcterms:modified>
</cp:coreProperties>
</file>